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Theme="minorEastAsia" w:hAnsiTheme="minorEastAsia" w:eastAsiaTheme="minorEastAsia"/>
          <w:b/>
          <w:color w:val="000000"/>
          <w:sz w:val="88"/>
          <w:szCs w:val="100"/>
        </w:rPr>
      </w:pPr>
      <w:r>
        <w:rPr>
          <w:rFonts w:hint="eastAsia" w:asciiTheme="minorEastAsia" w:hAnsiTheme="minorEastAsia" w:eastAsiaTheme="minorEastAsia"/>
          <w:b/>
          <w:color w:val="FF0000"/>
          <w:spacing w:val="11"/>
          <w:kern w:val="0"/>
          <w:sz w:val="88"/>
          <w:szCs w:val="100"/>
        </w:rPr>
        <w:t>北京国家会计学</w:t>
      </w:r>
      <w:r>
        <w:rPr>
          <w:rFonts w:hint="eastAsia" w:asciiTheme="minorEastAsia" w:hAnsiTheme="minorEastAsia" w:eastAsiaTheme="minorEastAsia"/>
          <w:b/>
          <w:color w:val="FF0000"/>
          <w:spacing w:val="3"/>
          <w:kern w:val="0"/>
          <w:sz w:val="88"/>
          <w:szCs w:val="100"/>
        </w:rPr>
        <w:t>院</w:t>
      </w:r>
    </w:p>
    <w:p>
      <w:pPr>
        <w:widowControl/>
        <w:spacing w:before="240" w:after="240"/>
        <w:jc w:val="center"/>
        <w:outlineLvl w:val="2"/>
        <w:rPr>
          <w:rFonts w:ascii="宋体" w:hAnsi="宋体" w:cs="宋体"/>
          <w:b/>
          <w:sz w:val="30"/>
          <w:szCs w:val="30"/>
        </w:rPr>
      </w:pPr>
      <w:r>
        <w:rPr>
          <w:spacing w:val="5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55245</wp:posOffset>
                </wp:positionV>
                <wp:extent cx="6010275" cy="0"/>
                <wp:effectExtent l="0" t="0" r="0" b="0"/>
                <wp:wrapNone/>
                <wp:docPr id="1" name="Lin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86375" cy="0"/>
                        </a:xfrm>
                        <a:prstGeom prst="line">
                          <a:avLst/>
                        </a:prstGeom>
                        <a:ln w="254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2" o:spid="_x0000_s1026" o:spt="20" style="position:absolute;left:0pt;margin-left:6.3pt;margin-top:4.35pt;height:0pt;width:473.25pt;z-index:251660288;mso-width-relative:page;mso-height-relative:page;" filled="f" stroked="t" coordsize="21600,21600" o:gfxdata="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fgLdq0wAAAAYBAAAPAAAAAAAAAAEAIAAAACIAAABkcnMvZG93bnJl&#10;di54bWxQSwECFAAUAAAACACHTuJAaWID6ckBAACaAwAADgAAAAAAAAABACAAAAAiAQAAZHJzL2Uy&#10;b0RvYy54bWxQSwUGAAAAAAYABgBZAQAAXQUAAAAA&#10;">
                <v:fill on="f" focussize="0,0"/>
                <v:stroke weight="2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宋体" w:hAnsi="宋体" w:cs="宋体"/>
          <w:b/>
          <w:sz w:val="30"/>
          <w:szCs w:val="30"/>
        </w:rPr>
        <w:t>2017年最新审计准则与风险防范高级研修班招生简章</w:t>
      </w:r>
    </w:p>
    <w:p>
      <w:pPr>
        <w:widowControl/>
        <w:spacing w:line="480" w:lineRule="exact"/>
        <w:jc w:val="left"/>
        <w:outlineLvl w:val="2"/>
        <w:rPr>
          <w:rFonts w:ascii="宋体" w:hAnsi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cs="宋体"/>
          <w:b/>
          <w:bCs/>
          <w:kern w:val="0"/>
          <w:sz w:val="24"/>
          <w:szCs w:val="24"/>
        </w:rPr>
        <w:t>教研</w:t>
      </w:r>
      <w:r>
        <w:rPr>
          <w:rFonts w:ascii="宋体" w:hAnsi="宋体" w:cs="宋体"/>
          <w:b/>
          <w:bCs/>
          <w:kern w:val="0"/>
          <w:sz w:val="24"/>
          <w:szCs w:val="24"/>
        </w:rPr>
        <w:t>背景</w:t>
      </w:r>
      <w:r>
        <w:rPr>
          <w:rFonts w:hint="eastAsia" w:ascii="宋体" w:hAnsi="宋体" w:cs="宋体"/>
          <w:b/>
          <w:bCs/>
          <w:kern w:val="0"/>
          <w:sz w:val="24"/>
          <w:szCs w:val="24"/>
        </w:rPr>
        <w:t xml:space="preserve"> ：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2016年12月，为了适应资本市场的改革与发展，满足政府部门、监管机构和投资者日益迫切的要求，财政部在广泛征求意见的基础上，借鉴国际审计经验和成果，印发《在审计报告中沟通关键审计事项》等12项中国注册会计师审计准则（新审计报告准则）。新准则发布将会提高审计报告的信息含量，增强其决策相关性；提高审计报告的沟通价值，增强审计工作的透明度；强化注册会计师的责任，提高审计质量。与此同时，对注册会计师、上市公司财务部门、企业内部审计人员都提出了新标准、新要求，如何快速吃透准则、应对变化成为迫切而重要的问题。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为此，北京国家会计学院将于2017年以“</w:t>
      </w:r>
      <w:r>
        <w:rPr>
          <w:rFonts w:hint="eastAsia" w:asciiTheme="minorEastAsia" w:hAnsiTheme="minorEastAsia" w:eastAsiaTheme="minorEastAsia"/>
          <w:sz w:val="24"/>
          <w:szCs w:val="24"/>
        </w:rPr>
        <w:t>授课</w:t>
      </w:r>
      <w:r>
        <w:rPr>
          <w:rFonts w:asciiTheme="minorEastAsia" w:hAnsiTheme="minorEastAsia" w:eastAsiaTheme="minorEastAsia"/>
          <w:sz w:val="24"/>
          <w:szCs w:val="24"/>
        </w:rPr>
        <w:t>+研讨”的方式隆重推出“2017最新审计准则与风险防范高级研修班”。</w:t>
      </w:r>
    </w:p>
    <w:p>
      <w:pPr>
        <w:widowControl/>
        <w:spacing w:line="480" w:lineRule="exact"/>
        <w:ind w:firstLine="482" w:firstLineChars="200"/>
        <w:jc w:val="left"/>
        <w:outlineLvl w:val="2"/>
        <w:rPr>
          <w:rFonts w:asciiTheme="minorEastAsia" w:hAnsiTheme="minorEastAsia" w:eastAsia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/>
          <w:b/>
          <w:sz w:val="24"/>
          <w:szCs w:val="24"/>
        </w:rPr>
        <w:t>一</w:t>
      </w:r>
      <w:r>
        <w:rPr>
          <w:rFonts w:asciiTheme="minorEastAsia" w:hAnsiTheme="minorEastAsia" w:eastAsiaTheme="minorEastAsia"/>
          <w:b/>
          <w:sz w:val="24"/>
          <w:szCs w:val="24"/>
        </w:rPr>
        <w:t>、</w:t>
      </w:r>
      <w:r>
        <w:rPr>
          <w:rFonts w:hint="eastAsia" w:asciiTheme="minorEastAsia" w:hAnsiTheme="minorEastAsia" w:eastAsiaTheme="minorEastAsia"/>
          <w:b/>
          <w:sz w:val="24"/>
          <w:szCs w:val="24"/>
        </w:rPr>
        <w:t>教研</w:t>
      </w:r>
      <w:r>
        <w:rPr>
          <w:rFonts w:asciiTheme="minorEastAsia" w:hAnsiTheme="minorEastAsia" w:eastAsiaTheme="minorEastAsia"/>
          <w:b/>
          <w:sz w:val="24"/>
          <w:szCs w:val="24"/>
        </w:rPr>
        <w:t>收益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1、</w:t>
      </w:r>
      <w:r>
        <w:rPr>
          <w:rFonts w:asciiTheme="minorEastAsia" w:hAnsiTheme="minorEastAsia" w:eastAsiaTheme="minorEastAsia"/>
          <w:sz w:val="24"/>
          <w:szCs w:val="24"/>
        </w:rPr>
        <w:t>政策解读——了解最新发布的12项审计准则，为全面指导工作打下基础；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2、</w:t>
      </w:r>
      <w:r>
        <w:rPr>
          <w:rFonts w:asciiTheme="minorEastAsia" w:hAnsiTheme="minorEastAsia" w:eastAsiaTheme="minorEastAsia"/>
          <w:sz w:val="24"/>
          <w:szCs w:val="24"/>
        </w:rPr>
        <w:t>业务提高——通过对新准则的深入了解，认识新变化、新要求，提高业务素质；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3、</w:t>
      </w:r>
      <w:r>
        <w:rPr>
          <w:rFonts w:asciiTheme="minorEastAsia" w:hAnsiTheme="minorEastAsia" w:eastAsiaTheme="minorEastAsia"/>
          <w:sz w:val="24"/>
          <w:szCs w:val="24"/>
        </w:rPr>
        <w:t>职业提升——通过认识新准则发布内在原因，重新认识审计风险，塑造全面职业观念。</w:t>
      </w:r>
    </w:p>
    <w:p>
      <w:pPr>
        <w:widowControl/>
        <w:spacing w:line="480" w:lineRule="exact"/>
        <w:ind w:firstLine="482" w:firstLineChars="200"/>
        <w:jc w:val="left"/>
        <w:outlineLvl w:val="2"/>
        <w:rPr>
          <w:rFonts w:asciiTheme="minorEastAsia" w:hAnsiTheme="minorEastAsia" w:eastAsia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/>
          <w:b/>
          <w:sz w:val="24"/>
          <w:szCs w:val="24"/>
        </w:rPr>
        <w:t>二</w:t>
      </w:r>
      <w:r>
        <w:rPr>
          <w:rFonts w:asciiTheme="minorEastAsia" w:hAnsiTheme="minorEastAsia" w:eastAsiaTheme="minorEastAsia"/>
          <w:b/>
          <w:sz w:val="24"/>
          <w:szCs w:val="24"/>
        </w:rPr>
        <w:t>、</w:t>
      </w:r>
      <w:r>
        <w:rPr>
          <w:rFonts w:hint="eastAsia" w:asciiTheme="minorEastAsia" w:hAnsiTheme="minorEastAsia" w:eastAsiaTheme="minorEastAsia"/>
          <w:b/>
          <w:sz w:val="24"/>
          <w:szCs w:val="24"/>
        </w:rPr>
        <w:t>目标学员</w:t>
      </w:r>
    </w:p>
    <w:p>
      <w:pPr>
        <w:pStyle w:val="5"/>
        <w:shd w:val="clear" w:color="auto" w:fill="FFFFFF"/>
        <w:spacing w:before="0" w:beforeAutospacing="0" w:after="0" w:afterAutospacing="0" w:line="480" w:lineRule="exact"/>
        <w:ind w:firstLine="480"/>
        <w:rPr>
          <w:rFonts w:asciiTheme="minorEastAsia" w:hAnsiTheme="minorEastAsia" w:eastAsiaTheme="minorEastAsia"/>
        </w:rPr>
      </w:pPr>
      <w:r>
        <w:rPr>
          <w:rFonts w:cs="Times New Roman" w:asciiTheme="minorEastAsia" w:hAnsiTheme="minorEastAsia" w:eastAsiaTheme="minorEastAsia"/>
          <w:kern w:val="2"/>
        </w:rPr>
        <w:t>上市、挂牌公司财务从业人员；上市公司</w:t>
      </w:r>
      <w:r>
        <w:rPr>
          <w:rFonts w:hint="eastAsia" w:asciiTheme="minorEastAsia" w:hAnsiTheme="minorEastAsia" w:eastAsiaTheme="minorEastAsia"/>
        </w:rPr>
        <w:t>、集团股份公司</w:t>
      </w:r>
      <w:r>
        <w:rPr>
          <w:rFonts w:cs="Times New Roman" w:asciiTheme="minorEastAsia" w:hAnsiTheme="minorEastAsia" w:eastAsiaTheme="minorEastAsia"/>
          <w:kern w:val="2"/>
        </w:rPr>
        <w:t>内部审计部门从业人员</w:t>
      </w:r>
      <w:r>
        <w:rPr>
          <w:rFonts w:hint="eastAsia" w:asciiTheme="minorEastAsia" w:hAnsiTheme="minorEastAsia" w:eastAsiaTheme="minorEastAsia"/>
        </w:rPr>
        <w:t>：</w:t>
      </w:r>
      <w:r>
        <w:rPr>
          <w:rFonts w:cs="Times New Roman" w:asciiTheme="minorEastAsia" w:hAnsiTheme="minorEastAsia" w:eastAsiaTheme="minorEastAsia"/>
          <w:kern w:val="2"/>
        </w:rPr>
        <w:t>会计师事务所从业人员；</w:t>
      </w:r>
      <w:r>
        <w:rPr>
          <w:rFonts w:hint="eastAsia" w:asciiTheme="minorEastAsia" w:hAnsiTheme="minorEastAsia" w:eastAsiaTheme="minorEastAsia"/>
        </w:rPr>
        <w:t>各相关高校从事审计研究及相关教学的教师。</w:t>
      </w:r>
    </w:p>
    <w:p>
      <w:pPr>
        <w:widowControl/>
        <w:spacing w:line="480" w:lineRule="exact"/>
        <w:ind w:firstLine="482" w:firstLineChars="200"/>
        <w:jc w:val="left"/>
        <w:outlineLvl w:val="2"/>
        <w:rPr>
          <w:rFonts w:asciiTheme="minorEastAsia" w:hAnsiTheme="minorEastAsia" w:eastAsia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/>
          <w:b/>
          <w:sz w:val="24"/>
          <w:szCs w:val="24"/>
        </w:rPr>
        <w:t>三</w:t>
      </w:r>
      <w:r>
        <w:rPr>
          <w:rFonts w:asciiTheme="minorEastAsia" w:hAnsiTheme="minorEastAsia" w:eastAsiaTheme="minorEastAsia"/>
          <w:b/>
          <w:sz w:val="24"/>
          <w:szCs w:val="24"/>
        </w:rPr>
        <w:t>、</w:t>
      </w:r>
      <w:r>
        <w:rPr>
          <w:rFonts w:hint="eastAsia" w:asciiTheme="minorEastAsia" w:hAnsiTheme="minorEastAsia" w:eastAsiaTheme="minorEastAsia"/>
          <w:b/>
          <w:sz w:val="24"/>
          <w:szCs w:val="24"/>
        </w:rPr>
        <w:t>主要</w:t>
      </w:r>
      <w:r>
        <w:rPr>
          <w:rFonts w:asciiTheme="minorEastAsia" w:hAnsiTheme="minorEastAsia" w:eastAsiaTheme="minorEastAsia"/>
          <w:b/>
          <w:sz w:val="24"/>
          <w:szCs w:val="24"/>
        </w:rPr>
        <w:t>内容</w:t>
      </w:r>
    </w:p>
    <w:p>
      <w:pPr>
        <w:widowControl/>
        <w:spacing w:line="480" w:lineRule="exact"/>
        <w:ind w:firstLine="472" w:firstLineChars="196"/>
        <w:jc w:val="left"/>
        <w:outlineLvl w:val="2"/>
        <w:rPr>
          <w:rFonts w:asciiTheme="minorEastAsia" w:hAnsiTheme="minorEastAsia" w:eastAsiaTheme="minorEastAsia"/>
          <w:b/>
          <w:sz w:val="24"/>
          <w:szCs w:val="24"/>
        </w:rPr>
      </w:pPr>
      <w:r>
        <w:rPr>
          <w:rFonts w:asciiTheme="minorEastAsia" w:hAnsiTheme="minorEastAsia" w:eastAsiaTheme="minorEastAsia"/>
          <w:b/>
          <w:sz w:val="24"/>
          <w:szCs w:val="24"/>
        </w:rPr>
        <w:t>（一）审计准则最新变化概述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1、</w:t>
      </w:r>
      <w:r>
        <w:rPr>
          <w:rFonts w:asciiTheme="minorEastAsia" w:hAnsiTheme="minorEastAsia" w:eastAsiaTheme="minorEastAsia"/>
          <w:sz w:val="24"/>
          <w:szCs w:val="24"/>
        </w:rPr>
        <w:t>审计准则修订的必要性和现实条件</w:t>
      </w:r>
      <w:r>
        <w:rPr>
          <w:rFonts w:hint="eastAsia" w:asciiTheme="minorEastAsia" w:hAnsiTheme="minorEastAsia" w:eastAsiaTheme="minorEastAsia"/>
          <w:sz w:val="24"/>
          <w:szCs w:val="24"/>
        </w:rPr>
        <w:t>；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2、</w:t>
      </w:r>
      <w:r>
        <w:rPr>
          <w:rFonts w:asciiTheme="minorEastAsia" w:hAnsiTheme="minorEastAsia" w:eastAsiaTheme="minorEastAsia"/>
          <w:sz w:val="24"/>
          <w:szCs w:val="24"/>
        </w:rPr>
        <w:t>审计工作的国际发展趋势与准则趋同</w:t>
      </w:r>
      <w:r>
        <w:rPr>
          <w:rFonts w:hint="eastAsia" w:asciiTheme="minorEastAsia" w:hAnsiTheme="minorEastAsia" w:eastAsiaTheme="minorEastAsia"/>
          <w:sz w:val="24"/>
          <w:szCs w:val="24"/>
        </w:rPr>
        <w:t>；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3、</w:t>
      </w:r>
      <w:r>
        <w:rPr>
          <w:rFonts w:asciiTheme="minorEastAsia" w:hAnsiTheme="minorEastAsia" w:eastAsiaTheme="minorEastAsia"/>
          <w:sz w:val="24"/>
          <w:szCs w:val="24"/>
        </w:rPr>
        <w:t>我国审计准则修订历程及现实作用</w:t>
      </w:r>
      <w:r>
        <w:rPr>
          <w:rFonts w:hint="eastAsia" w:asciiTheme="minorEastAsia" w:hAnsiTheme="minorEastAsia" w:eastAsiaTheme="minorEastAsia"/>
          <w:sz w:val="24"/>
          <w:szCs w:val="24"/>
        </w:rPr>
        <w:t>；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4、</w:t>
      </w:r>
      <w:r>
        <w:rPr>
          <w:rFonts w:asciiTheme="minorEastAsia" w:hAnsiTheme="minorEastAsia" w:eastAsiaTheme="minorEastAsia"/>
          <w:sz w:val="24"/>
          <w:szCs w:val="24"/>
        </w:rPr>
        <w:t>准则修订对企业、注册会计师等带来的影响</w:t>
      </w:r>
      <w:r>
        <w:rPr>
          <w:rFonts w:hint="eastAsia" w:asciiTheme="minorEastAsia" w:hAnsiTheme="minorEastAsia" w:eastAsiaTheme="minorEastAsia"/>
          <w:sz w:val="24"/>
          <w:szCs w:val="24"/>
        </w:rPr>
        <w:t>。</w:t>
      </w:r>
    </w:p>
    <w:p>
      <w:pPr>
        <w:widowControl/>
        <w:spacing w:line="480" w:lineRule="exact"/>
        <w:ind w:firstLine="482" w:firstLineChars="200"/>
        <w:jc w:val="left"/>
        <w:rPr>
          <w:rFonts w:asciiTheme="minorEastAsia" w:hAnsiTheme="minorEastAsia" w:eastAsiaTheme="minorEastAsia"/>
          <w:b/>
          <w:sz w:val="24"/>
          <w:szCs w:val="24"/>
        </w:rPr>
      </w:pPr>
      <w:r>
        <w:rPr>
          <w:rFonts w:asciiTheme="minorEastAsia" w:hAnsiTheme="minorEastAsia" w:eastAsiaTheme="minorEastAsia"/>
          <w:b/>
          <w:sz w:val="24"/>
          <w:szCs w:val="24"/>
        </w:rPr>
        <w:t>（二）新审计报告准则详细解析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1、</w:t>
      </w:r>
      <w:r>
        <w:rPr>
          <w:rFonts w:asciiTheme="minorEastAsia" w:hAnsiTheme="minorEastAsia" w:eastAsiaTheme="minorEastAsia"/>
          <w:sz w:val="24"/>
          <w:szCs w:val="24"/>
        </w:rPr>
        <w:t>新审计报告准则的积极作用和现实意义</w:t>
      </w:r>
      <w:r>
        <w:rPr>
          <w:rFonts w:hint="eastAsia" w:asciiTheme="minorEastAsia" w:hAnsiTheme="minorEastAsia" w:eastAsiaTheme="minorEastAsia"/>
          <w:sz w:val="24"/>
          <w:szCs w:val="24"/>
        </w:rPr>
        <w:t>；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2、</w:t>
      </w:r>
      <w:r>
        <w:rPr>
          <w:rFonts w:asciiTheme="minorEastAsia" w:hAnsiTheme="minorEastAsia" w:eastAsiaTheme="minorEastAsia"/>
          <w:sz w:val="24"/>
          <w:szCs w:val="24"/>
        </w:rPr>
        <w:t>审计事项沟通相关准则详细解析——1504、1151号等</w:t>
      </w:r>
      <w:r>
        <w:rPr>
          <w:rFonts w:hint="eastAsia" w:asciiTheme="minorEastAsia" w:hAnsiTheme="minorEastAsia" w:eastAsiaTheme="minorEastAsia"/>
          <w:sz w:val="24"/>
          <w:szCs w:val="24"/>
        </w:rPr>
        <w:t>；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3、</w:t>
      </w:r>
      <w:r>
        <w:rPr>
          <w:rFonts w:asciiTheme="minorEastAsia" w:hAnsiTheme="minorEastAsia" w:eastAsiaTheme="minorEastAsia"/>
          <w:sz w:val="24"/>
          <w:szCs w:val="24"/>
        </w:rPr>
        <w:t>提升审计报告信息含量相关准则详细解析——1501、1503号等</w:t>
      </w:r>
      <w:r>
        <w:rPr>
          <w:rFonts w:hint="eastAsia" w:asciiTheme="minorEastAsia" w:hAnsiTheme="minorEastAsia" w:eastAsiaTheme="minorEastAsia"/>
          <w:sz w:val="24"/>
          <w:szCs w:val="24"/>
        </w:rPr>
        <w:t>；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4、</w:t>
      </w:r>
      <w:r>
        <w:rPr>
          <w:rFonts w:asciiTheme="minorEastAsia" w:hAnsiTheme="minorEastAsia" w:eastAsiaTheme="minorEastAsia"/>
          <w:sz w:val="24"/>
          <w:szCs w:val="24"/>
        </w:rPr>
        <w:t>强化主体责任、提升审计质量相关准则详细解析——1324号等</w:t>
      </w:r>
      <w:r>
        <w:rPr>
          <w:rFonts w:hint="eastAsia" w:asciiTheme="minorEastAsia" w:hAnsiTheme="minorEastAsia" w:eastAsiaTheme="minorEastAsia"/>
          <w:sz w:val="24"/>
          <w:szCs w:val="24"/>
        </w:rPr>
        <w:t>。</w:t>
      </w:r>
    </w:p>
    <w:p>
      <w:pPr>
        <w:widowControl/>
        <w:spacing w:line="480" w:lineRule="exact"/>
        <w:ind w:firstLine="472" w:firstLineChars="196"/>
        <w:jc w:val="left"/>
        <w:rPr>
          <w:rFonts w:asciiTheme="minorEastAsia" w:hAnsiTheme="minorEastAsia" w:eastAsiaTheme="minorEastAsia"/>
          <w:b/>
          <w:sz w:val="24"/>
          <w:szCs w:val="24"/>
        </w:rPr>
      </w:pPr>
      <w:r>
        <w:rPr>
          <w:rFonts w:asciiTheme="minorEastAsia" w:hAnsiTheme="minorEastAsia" w:eastAsiaTheme="minorEastAsia"/>
          <w:b/>
          <w:sz w:val="24"/>
          <w:szCs w:val="24"/>
        </w:rPr>
        <w:t>（三）新准则执行过程中问题案例分析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1、</w:t>
      </w:r>
      <w:r>
        <w:rPr>
          <w:rFonts w:asciiTheme="minorEastAsia" w:hAnsiTheme="minorEastAsia" w:eastAsiaTheme="minorEastAsia"/>
          <w:sz w:val="24"/>
          <w:szCs w:val="24"/>
        </w:rPr>
        <w:t>新旧准则对比及实务影响</w:t>
      </w:r>
      <w:r>
        <w:rPr>
          <w:rFonts w:hint="eastAsia" w:asciiTheme="minorEastAsia" w:hAnsiTheme="minorEastAsia" w:eastAsiaTheme="minorEastAsia"/>
          <w:sz w:val="24"/>
          <w:szCs w:val="24"/>
        </w:rPr>
        <w:t>；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2、</w:t>
      </w:r>
      <w:r>
        <w:rPr>
          <w:rFonts w:asciiTheme="minorEastAsia" w:hAnsiTheme="minorEastAsia" w:eastAsiaTheme="minorEastAsia"/>
          <w:sz w:val="24"/>
          <w:szCs w:val="24"/>
        </w:rPr>
        <w:t>通过案例分析新准则执行过程中的重难点</w:t>
      </w:r>
      <w:r>
        <w:rPr>
          <w:rFonts w:hint="eastAsia" w:asciiTheme="minorEastAsia" w:hAnsiTheme="minorEastAsia" w:eastAsiaTheme="minorEastAsia"/>
          <w:sz w:val="24"/>
          <w:szCs w:val="24"/>
        </w:rPr>
        <w:t>；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3、</w:t>
      </w:r>
      <w:r>
        <w:rPr>
          <w:rFonts w:asciiTheme="minorEastAsia" w:hAnsiTheme="minorEastAsia" w:eastAsiaTheme="minorEastAsia"/>
          <w:sz w:val="24"/>
          <w:szCs w:val="24"/>
        </w:rPr>
        <w:t>通过案例提供新准则实施的样板参考</w:t>
      </w:r>
      <w:r>
        <w:rPr>
          <w:rFonts w:hint="eastAsia" w:asciiTheme="minorEastAsia" w:hAnsiTheme="minorEastAsia" w:eastAsiaTheme="minorEastAsia"/>
          <w:sz w:val="24"/>
          <w:szCs w:val="24"/>
        </w:rPr>
        <w:t>；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4、</w:t>
      </w:r>
      <w:r>
        <w:rPr>
          <w:rFonts w:asciiTheme="minorEastAsia" w:hAnsiTheme="minorEastAsia" w:eastAsiaTheme="minorEastAsia"/>
          <w:sz w:val="24"/>
          <w:szCs w:val="24"/>
        </w:rPr>
        <w:t>通过反面案例梳理新准则的现实关注和要求</w:t>
      </w:r>
      <w:r>
        <w:rPr>
          <w:rFonts w:hint="eastAsia" w:asciiTheme="minorEastAsia" w:hAnsiTheme="minorEastAsia" w:eastAsiaTheme="minorEastAsia"/>
          <w:sz w:val="24"/>
          <w:szCs w:val="24"/>
        </w:rPr>
        <w:t>。</w:t>
      </w:r>
    </w:p>
    <w:p>
      <w:pPr>
        <w:widowControl/>
        <w:spacing w:line="480" w:lineRule="exact"/>
        <w:ind w:firstLine="472" w:firstLineChars="196"/>
        <w:jc w:val="left"/>
        <w:rPr>
          <w:rFonts w:asciiTheme="minorEastAsia" w:hAnsiTheme="minorEastAsia" w:eastAsiaTheme="minorEastAsia"/>
          <w:b/>
          <w:sz w:val="24"/>
          <w:szCs w:val="24"/>
        </w:rPr>
      </w:pPr>
      <w:r>
        <w:rPr>
          <w:rFonts w:asciiTheme="minorEastAsia" w:hAnsiTheme="minorEastAsia" w:eastAsiaTheme="minorEastAsia"/>
          <w:b/>
          <w:sz w:val="24"/>
          <w:szCs w:val="24"/>
        </w:rPr>
        <w:t>（四）审计行业价值增值和风险防范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1、</w:t>
      </w:r>
      <w:r>
        <w:rPr>
          <w:rFonts w:asciiTheme="minorEastAsia" w:hAnsiTheme="minorEastAsia" w:eastAsiaTheme="minorEastAsia"/>
          <w:sz w:val="24"/>
          <w:szCs w:val="24"/>
        </w:rPr>
        <w:t>新审计报告准则修订下的职业道德规范重塑</w:t>
      </w:r>
      <w:r>
        <w:rPr>
          <w:rFonts w:hint="eastAsia" w:asciiTheme="minorEastAsia" w:hAnsiTheme="minorEastAsia" w:eastAsiaTheme="minorEastAsia"/>
          <w:sz w:val="24"/>
          <w:szCs w:val="24"/>
        </w:rPr>
        <w:t>；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2、</w:t>
      </w:r>
      <w:r>
        <w:rPr>
          <w:rFonts w:asciiTheme="minorEastAsia" w:hAnsiTheme="minorEastAsia" w:eastAsiaTheme="minorEastAsia"/>
          <w:sz w:val="24"/>
          <w:szCs w:val="24"/>
        </w:rPr>
        <w:t>审计行业从业人员的新定位和价值增值发现</w:t>
      </w:r>
      <w:r>
        <w:rPr>
          <w:rFonts w:hint="eastAsia" w:asciiTheme="minorEastAsia" w:hAnsiTheme="minorEastAsia" w:eastAsiaTheme="minorEastAsia"/>
          <w:sz w:val="24"/>
          <w:szCs w:val="24"/>
        </w:rPr>
        <w:t>；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3、</w:t>
      </w:r>
      <w:r>
        <w:rPr>
          <w:rFonts w:asciiTheme="minorEastAsia" w:hAnsiTheme="minorEastAsia" w:eastAsiaTheme="minorEastAsia"/>
          <w:sz w:val="24"/>
          <w:szCs w:val="24"/>
        </w:rPr>
        <w:t>实现审计行业从业人员价值增值有效路径</w:t>
      </w:r>
      <w:r>
        <w:rPr>
          <w:rFonts w:hint="eastAsia" w:asciiTheme="minorEastAsia" w:hAnsiTheme="minorEastAsia" w:eastAsiaTheme="minorEastAsia"/>
          <w:sz w:val="24"/>
          <w:szCs w:val="24"/>
        </w:rPr>
        <w:t>；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4、</w:t>
      </w:r>
      <w:r>
        <w:rPr>
          <w:rFonts w:asciiTheme="minorEastAsia" w:hAnsiTheme="minorEastAsia" w:eastAsiaTheme="minorEastAsia"/>
          <w:sz w:val="24"/>
          <w:szCs w:val="24"/>
        </w:rPr>
        <w:t>准则修订背景下的审计风险新认知和有效防范</w:t>
      </w:r>
      <w:r>
        <w:rPr>
          <w:rFonts w:hint="eastAsia" w:asciiTheme="minorEastAsia" w:hAnsiTheme="minorEastAsia" w:eastAsiaTheme="minorEastAsia"/>
          <w:sz w:val="24"/>
          <w:szCs w:val="24"/>
        </w:rPr>
        <w:t>。</w:t>
      </w:r>
    </w:p>
    <w:p>
      <w:pPr>
        <w:widowControl/>
        <w:spacing w:line="480" w:lineRule="exact"/>
        <w:ind w:firstLine="482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b/>
          <w:sz w:val="24"/>
          <w:szCs w:val="24"/>
        </w:rPr>
        <w:t>（五）如何尽快适应、落实新准则修订——结构化研讨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1、</w:t>
      </w:r>
      <w:r>
        <w:rPr>
          <w:rFonts w:asciiTheme="minorEastAsia" w:hAnsiTheme="minorEastAsia" w:eastAsiaTheme="minorEastAsia"/>
          <w:sz w:val="24"/>
          <w:szCs w:val="24"/>
        </w:rPr>
        <w:t>执行新准则过程中存在的问题和困惑</w:t>
      </w:r>
      <w:r>
        <w:rPr>
          <w:rFonts w:hint="eastAsia" w:asciiTheme="minorEastAsia" w:hAnsiTheme="minorEastAsia" w:eastAsiaTheme="minorEastAsia"/>
          <w:sz w:val="24"/>
          <w:szCs w:val="24"/>
        </w:rPr>
        <w:t>；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2、</w:t>
      </w:r>
      <w:r>
        <w:rPr>
          <w:rFonts w:asciiTheme="minorEastAsia" w:hAnsiTheme="minorEastAsia" w:eastAsiaTheme="minorEastAsia"/>
          <w:sz w:val="24"/>
          <w:szCs w:val="24"/>
        </w:rPr>
        <w:t>执行新准则过程中的重要关注点</w:t>
      </w:r>
      <w:r>
        <w:rPr>
          <w:rFonts w:hint="eastAsia" w:asciiTheme="minorEastAsia" w:hAnsiTheme="minorEastAsia" w:eastAsiaTheme="minorEastAsia"/>
          <w:sz w:val="24"/>
          <w:szCs w:val="24"/>
        </w:rPr>
        <w:t>；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3、</w:t>
      </w:r>
      <w:r>
        <w:rPr>
          <w:rFonts w:asciiTheme="minorEastAsia" w:hAnsiTheme="minorEastAsia" w:eastAsiaTheme="minorEastAsia"/>
          <w:sz w:val="24"/>
          <w:szCs w:val="24"/>
        </w:rPr>
        <w:t>有效执行新准则的现实路径</w:t>
      </w:r>
      <w:r>
        <w:rPr>
          <w:rFonts w:hint="eastAsia" w:asciiTheme="minorEastAsia" w:hAnsiTheme="minorEastAsia" w:eastAsiaTheme="minorEastAsia"/>
          <w:sz w:val="24"/>
          <w:szCs w:val="24"/>
        </w:rPr>
        <w:t>。</w:t>
      </w:r>
    </w:p>
    <w:p>
      <w:pPr>
        <w:widowControl/>
        <w:spacing w:line="480" w:lineRule="exact"/>
        <w:ind w:firstLine="482" w:firstLineChars="200"/>
        <w:jc w:val="left"/>
        <w:outlineLvl w:val="2"/>
        <w:rPr>
          <w:rFonts w:asciiTheme="minorEastAsia" w:hAnsiTheme="minorEastAsia" w:eastAsia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/>
          <w:b/>
          <w:sz w:val="24"/>
          <w:szCs w:val="24"/>
        </w:rPr>
        <w:t>四</w:t>
      </w:r>
      <w:r>
        <w:rPr>
          <w:rFonts w:asciiTheme="minorEastAsia" w:hAnsiTheme="minorEastAsia" w:eastAsiaTheme="minorEastAsia"/>
          <w:b/>
          <w:sz w:val="24"/>
          <w:szCs w:val="24"/>
        </w:rPr>
        <w:t>、师资团队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财政部、证监会、中注协等政策制定方专家</w:t>
      </w:r>
      <w:r>
        <w:rPr>
          <w:rFonts w:hint="eastAsia" w:asciiTheme="minorEastAsia" w:hAnsiTheme="minorEastAsia" w:eastAsiaTheme="minorEastAsia"/>
          <w:sz w:val="24"/>
          <w:szCs w:val="24"/>
        </w:rPr>
        <w:t>；</w:t>
      </w:r>
      <w:r>
        <w:rPr>
          <w:rFonts w:asciiTheme="minorEastAsia" w:hAnsiTheme="minorEastAsia" w:eastAsiaTheme="minorEastAsia"/>
          <w:sz w:val="24"/>
          <w:szCs w:val="24"/>
        </w:rPr>
        <w:t>企业、会计师事务所实务界资深专家</w:t>
      </w:r>
      <w:r>
        <w:rPr>
          <w:rFonts w:hint="eastAsia" w:asciiTheme="minorEastAsia" w:hAnsiTheme="minorEastAsia" w:eastAsiaTheme="minorEastAsia"/>
          <w:sz w:val="24"/>
          <w:szCs w:val="24"/>
        </w:rPr>
        <w:t>；</w:t>
      </w:r>
      <w:r>
        <w:rPr>
          <w:rFonts w:asciiTheme="minorEastAsia" w:hAnsiTheme="minorEastAsia" w:eastAsiaTheme="minorEastAsia"/>
          <w:sz w:val="24"/>
          <w:szCs w:val="24"/>
        </w:rPr>
        <w:t>北京国家会计学院、知名高校审计专业方向专家学者</w:t>
      </w:r>
    </w:p>
    <w:p>
      <w:pPr>
        <w:widowControl/>
        <w:spacing w:line="480" w:lineRule="exact"/>
        <w:ind w:firstLine="482" w:firstLineChars="200"/>
        <w:jc w:val="left"/>
        <w:outlineLvl w:val="2"/>
        <w:rPr>
          <w:rFonts w:asciiTheme="minorEastAsia" w:hAnsiTheme="minorEastAsia" w:eastAsia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/>
          <w:b/>
          <w:sz w:val="24"/>
          <w:szCs w:val="24"/>
        </w:rPr>
        <w:t>五</w:t>
      </w:r>
      <w:r>
        <w:rPr>
          <w:rFonts w:asciiTheme="minorEastAsia" w:hAnsiTheme="minorEastAsia" w:eastAsiaTheme="minorEastAsia"/>
          <w:b/>
          <w:sz w:val="24"/>
          <w:szCs w:val="24"/>
        </w:rPr>
        <w:t>、时间与地点</w:t>
      </w:r>
    </w:p>
    <w:p>
      <w:pPr>
        <w:widowControl/>
        <w:spacing w:line="480" w:lineRule="exact"/>
        <w:ind w:firstLine="465"/>
        <w:jc w:val="left"/>
        <w:outlineLvl w:val="2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 xml:space="preserve">     第二期：2017年7月25日—27日（24日报到）北京国家会计学院</w:t>
      </w:r>
    </w:p>
    <w:p>
      <w:pPr>
        <w:widowControl/>
        <w:spacing w:line="480" w:lineRule="exact"/>
        <w:ind w:firstLine="465"/>
        <w:jc w:val="left"/>
        <w:outlineLvl w:val="2"/>
        <w:rPr>
          <w:rFonts w:asciiTheme="minorEastAsia" w:hAnsiTheme="minorEastAsia" w:eastAsiaTheme="minorEastAsia"/>
          <w:sz w:val="24"/>
          <w:szCs w:val="24"/>
        </w:rPr>
      </w:pPr>
    </w:p>
    <w:p>
      <w:pPr>
        <w:widowControl/>
        <w:spacing w:line="480" w:lineRule="exact"/>
        <w:ind w:firstLine="482" w:firstLineChars="200"/>
        <w:jc w:val="left"/>
        <w:outlineLvl w:val="2"/>
        <w:rPr>
          <w:rFonts w:asciiTheme="minorEastAsia" w:hAnsiTheme="minorEastAsia" w:eastAsia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/>
          <w:b/>
          <w:sz w:val="24"/>
          <w:szCs w:val="24"/>
        </w:rPr>
        <w:t>六</w:t>
      </w:r>
      <w:r>
        <w:rPr>
          <w:rFonts w:asciiTheme="minorEastAsia" w:hAnsiTheme="minorEastAsia" w:eastAsiaTheme="minorEastAsia"/>
          <w:b/>
          <w:sz w:val="24"/>
          <w:szCs w:val="24"/>
        </w:rPr>
        <w:t>、收费标准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1</w:t>
      </w:r>
      <w:r>
        <w:rPr>
          <w:rFonts w:hint="eastAsia" w:asciiTheme="minorEastAsia" w:hAnsiTheme="minorEastAsia" w:eastAsiaTheme="minorEastAsia"/>
          <w:sz w:val="24"/>
          <w:szCs w:val="24"/>
        </w:rPr>
        <w:t>、培训</w:t>
      </w:r>
      <w:r>
        <w:rPr>
          <w:rFonts w:asciiTheme="minorEastAsia" w:hAnsiTheme="minorEastAsia" w:eastAsiaTheme="minorEastAsia"/>
          <w:sz w:val="24"/>
          <w:szCs w:val="24"/>
        </w:rPr>
        <w:t>费：人民币3600元/人，费用均不含食宿。发票抬头为培训费。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2</w:t>
      </w:r>
      <w:r>
        <w:rPr>
          <w:rFonts w:hint="eastAsia" w:asciiTheme="minorEastAsia" w:hAnsiTheme="minorEastAsia" w:eastAsiaTheme="minorEastAsia"/>
          <w:sz w:val="24"/>
          <w:szCs w:val="24"/>
        </w:rPr>
        <w:t>、</w:t>
      </w:r>
      <w:r>
        <w:rPr>
          <w:rFonts w:asciiTheme="minorEastAsia" w:hAnsiTheme="minorEastAsia" w:eastAsiaTheme="minorEastAsia"/>
          <w:sz w:val="24"/>
          <w:szCs w:val="24"/>
        </w:rPr>
        <w:t>在北京国家会计学院举办的可提供食宿。就餐为自助餐，收费标准为120元/人天；住宿标准：普通单人间220元/天，商务间</w:t>
      </w:r>
      <w:r>
        <w:rPr>
          <w:rFonts w:hint="eastAsia" w:asciiTheme="minorEastAsia" w:hAnsiTheme="minorEastAsia" w:eastAsiaTheme="minorEastAsia"/>
          <w:sz w:val="24"/>
          <w:szCs w:val="24"/>
        </w:rPr>
        <w:t>400</w:t>
      </w:r>
      <w:r>
        <w:rPr>
          <w:rFonts w:asciiTheme="minorEastAsia" w:hAnsiTheme="minorEastAsia" w:eastAsiaTheme="minorEastAsia"/>
          <w:sz w:val="24"/>
          <w:szCs w:val="24"/>
        </w:rPr>
        <w:t>元/天，新商务间</w:t>
      </w:r>
      <w:r>
        <w:rPr>
          <w:rFonts w:hint="eastAsia" w:asciiTheme="minorEastAsia" w:hAnsiTheme="minorEastAsia" w:eastAsiaTheme="minorEastAsia"/>
          <w:sz w:val="24"/>
          <w:szCs w:val="24"/>
        </w:rPr>
        <w:t>60</w:t>
      </w:r>
      <w:r>
        <w:rPr>
          <w:rFonts w:asciiTheme="minorEastAsia" w:hAnsiTheme="minorEastAsia" w:eastAsiaTheme="minorEastAsia"/>
          <w:sz w:val="24"/>
          <w:szCs w:val="24"/>
        </w:rPr>
        <w:t>0元/天。（住宿费用含游泳、健身、净娱乐、宽带上网等费用）。</w:t>
      </w:r>
    </w:p>
    <w:p>
      <w:pPr>
        <w:widowControl/>
        <w:spacing w:line="480" w:lineRule="exact"/>
        <w:ind w:firstLine="482" w:firstLineChars="200"/>
        <w:jc w:val="left"/>
        <w:outlineLvl w:val="2"/>
        <w:rPr>
          <w:rFonts w:asciiTheme="minorEastAsia" w:hAnsiTheme="minorEastAsia" w:eastAsia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/>
          <w:b/>
          <w:sz w:val="24"/>
          <w:szCs w:val="24"/>
        </w:rPr>
        <w:t>七</w:t>
      </w:r>
      <w:r>
        <w:rPr>
          <w:rFonts w:asciiTheme="minorEastAsia" w:hAnsiTheme="minorEastAsia" w:eastAsiaTheme="minorEastAsia"/>
          <w:b/>
          <w:sz w:val="24"/>
          <w:szCs w:val="24"/>
        </w:rPr>
        <w:t>、缴费方式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1</w:t>
      </w:r>
      <w:r>
        <w:rPr>
          <w:rFonts w:hint="eastAsia" w:asciiTheme="minorEastAsia" w:hAnsiTheme="minorEastAsia" w:eastAsiaTheme="minorEastAsia"/>
          <w:sz w:val="24"/>
          <w:szCs w:val="24"/>
        </w:rPr>
        <w:t>、</w:t>
      </w:r>
      <w:r>
        <w:rPr>
          <w:rFonts w:asciiTheme="minorEastAsia" w:hAnsiTheme="minorEastAsia" w:eastAsiaTheme="minorEastAsia"/>
          <w:sz w:val="24"/>
          <w:szCs w:val="24"/>
        </w:rPr>
        <w:t>报到时直接缴纳现金或者现场刷银行卡、信用卡</w:t>
      </w:r>
    </w:p>
    <w:p>
      <w:pPr>
        <w:widowControl/>
        <w:spacing w:line="480" w:lineRule="exact"/>
        <w:ind w:firstLine="480" w:firstLineChars="200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2</w:t>
      </w:r>
      <w:r>
        <w:rPr>
          <w:rFonts w:hint="eastAsia" w:asciiTheme="minorEastAsia" w:hAnsiTheme="minorEastAsia" w:eastAsiaTheme="minorEastAsia"/>
          <w:sz w:val="24"/>
          <w:szCs w:val="24"/>
        </w:rPr>
        <w:t>、</w:t>
      </w:r>
      <w:r>
        <w:rPr>
          <w:rFonts w:asciiTheme="minorEastAsia" w:hAnsiTheme="minorEastAsia" w:eastAsiaTheme="minorEastAsia"/>
          <w:sz w:val="24"/>
          <w:szCs w:val="24"/>
        </w:rPr>
        <w:t>银行汇款：</w:t>
      </w:r>
    </w:p>
    <w:p>
      <w:pPr>
        <w:widowControl/>
        <w:spacing w:line="480" w:lineRule="exact"/>
        <w:ind w:firstLine="482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单位名称：北京国家会计学院</w:t>
      </w:r>
    </w:p>
    <w:p>
      <w:pPr>
        <w:widowControl/>
        <w:spacing w:line="480" w:lineRule="exact"/>
        <w:ind w:firstLine="482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账号：11001020100056030985</w:t>
      </w:r>
    </w:p>
    <w:p>
      <w:pPr>
        <w:widowControl/>
        <w:spacing w:line="480" w:lineRule="exact"/>
        <w:ind w:firstLine="482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开户行：建行北京市分行顺义天竺支行</w:t>
      </w:r>
    </w:p>
    <w:p>
      <w:pPr>
        <w:widowControl/>
        <w:spacing w:line="480" w:lineRule="exact"/>
        <w:ind w:firstLine="482"/>
        <w:jc w:val="left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注：汇款学员请于报到当日持汇款复印件报到，否则视同未汇款，需重新交纳费用</w:t>
      </w:r>
    </w:p>
    <w:p>
      <w:pPr>
        <w:spacing w:line="440" w:lineRule="exact"/>
        <w:rPr>
          <w:rFonts w:asciiTheme="minorEastAsia" w:hAnsiTheme="minorEastAsia" w:eastAsiaTheme="minorEastAsia"/>
          <w:sz w:val="24"/>
          <w:szCs w:val="24"/>
        </w:rPr>
      </w:pPr>
    </w:p>
    <w:p>
      <w:pPr>
        <w:spacing w:line="440" w:lineRule="exact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 xml:space="preserve">                                                          </w:t>
      </w:r>
    </w:p>
    <w:p>
      <w:pPr>
        <w:spacing w:line="440" w:lineRule="exact"/>
        <w:rPr>
          <w:rFonts w:asciiTheme="minorEastAsia" w:hAnsiTheme="minorEastAsia" w:eastAsia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 xml:space="preserve">                                                       </w:t>
      </w:r>
      <w:r>
        <w:rPr>
          <w:rFonts w:hint="eastAsia" w:asciiTheme="minorEastAsia" w:hAnsiTheme="minorEastAsia" w:eastAsiaTheme="minorEastAsia"/>
          <w:b/>
          <w:sz w:val="24"/>
          <w:szCs w:val="24"/>
        </w:rPr>
        <w:t xml:space="preserve">  北京国家会计学院教务部</w:t>
      </w:r>
    </w:p>
    <w:p>
      <w:pPr>
        <w:spacing w:line="440" w:lineRule="exact"/>
        <w:rPr>
          <w:rFonts w:asciiTheme="minorEastAsia" w:hAnsiTheme="minorEastAsia" w:eastAsia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/>
          <w:b/>
          <w:sz w:val="24"/>
          <w:szCs w:val="24"/>
        </w:rPr>
        <w:t xml:space="preserve">                                                                2017年5月</w:t>
      </w:r>
    </w:p>
    <w:p>
      <w:pPr>
        <w:spacing w:line="440" w:lineRule="exact"/>
        <w:jc w:val="center"/>
        <w:rPr>
          <w:rFonts w:asciiTheme="minorEastAsia" w:hAnsiTheme="minorEastAsia" w:eastAsiaTheme="minorEastAsia"/>
          <w:b/>
          <w:color w:val="FF0000"/>
          <w:sz w:val="24"/>
          <w:szCs w:val="24"/>
        </w:rPr>
      </w:pPr>
      <w:r>
        <w:rPr>
          <w:rFonts w:hint="eastAsia" w:asciiTheme="minorEastAsia" w:hAnsiTheme="minorEastAsia" w:eastAsiaTheme="minorEastAsia"/>
          <w:b/>
          <w:color w:val="FF0000"/>
          <w:sz w:val="24"/>
          <w:szCs w:val="24"/>
        </w:rPr>
        <w:t>2017年最新审计准则与风险防范高级研修班报名回执表</w:t>
      </w:r>
    </w:p>
    <w:tbl>
      <w:tblPr>
        <w:tblStyle w:val="9"/>
        <w:tblW w:w="975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1454"/>
        <w:gridCol w:w="878"/>
        <w:gridCol w:w="1117"/>
        <w:gridCol w:w="1338"/>
        <w:gridCol w:w="1558"/>
        <w:gridCol w:w="1846"/>
        <w:gridCol w:w="15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531" w:hRule="exact"/>
          <w:jc w:val="center"/>
        </w:trPr>
        <w:tc>
          <w:tcPr>
            <w:tcW w:w="145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单位名称</w:t>
            </w:r>
          </w:p>
        </w:tc>
        <w:tc>
          <w:tcPr>
            <w:tcW w:w="489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邮编</w:t>
            </w: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439" w:hRule="exact"/>
          <w:jc w:val="center"/>
        </w:trPr>
        <w:tc>
          <w:tcPr>
            <w:tcW w:w="145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学员姓名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性别</w:t>
            </w:r>
          </w:p>
        </w:tc>
        <w:tc>
          <w:tcPr>
            <w:tcW w:w="1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职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务</w:t>
            </w: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240" w:firstLineChars="1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电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话</w:t>
            </w: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240" w:firstLineChars="1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传真</w:t>
            </w:r>
          </w:p>
        </w:tc>
        <w:tc>
          <w:tcPr>
            <w:tcW w:w="1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240" w:firstLineChars="1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手</w:t>
            </w:r>
            <w:r>
              <w:rPr>
                <w:rFonts w:asciiTheme="minorEastAsia" w:hAnsiTheme="minorEastAsia" w:eastAsiaTheme="minorEastAsia"/>
                <w:sz w:val="24"/>
                <w:szCs w:val="24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机</w:t>
            </w: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电子信箱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550" w:hRule="exact"/>
          <w:jc w:val="center"/>
        </w:trPr>
        <w:tc>
          <w:tcPr>
            <w:tcW w:w="145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552" w:hRule="exact"/>
          <w:jc w:val="center"/>
        </w:trPr>
        <w:tc>
          <w:tcPr>
            <w:tcW w:w="145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552" w:hRule="exact"/>
          <w:jc w:val="center"/>
        </w:trPr>
        <w:tc>
          <w:tcPr>
            <w:tcW w:w="145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552" w:hRule="exact"/>
          <w:jc w:val="center"/>
        </w:trPr>
        <w:tc>
          <w:tcPr>
            <w:tcW w:w="145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552" w:hRule="exact"/>
          <w:jc w:val="center"/>
        </w:trPr>
        <w:tc>
          <w:tcPr>
            <w:tcW w:w="145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552" w:hRule="exact"/>
          <w:jc w:val="center"/>
        </w:trPr>
        <w:tc>
          <w:tcPr>
            <w:tcW w:w="145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552" w:hRule="exact"/>
          <w:jc w:val="center"/>
        </w:trPr>
        <w:tc>
          <w:tcPr>
            <w:tcW w:w="145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360"/>
                <w:tab w:val="left" w:pos="540"/>
              </w:tabs>
              <w:spacing w:line="420" w:lineRule="exact"/>
              <w:ind w:firstLine="480" w:firstLineChars="20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1421" w:hRule="atLeast"/>
          <w:jc w:val="center"/>
        </w:trPr>
        <w:tc>
          <w:tcPr>
            <w:tcW w:w="9759" w:type="dxa"/>
            <w:gridSpan w:val="7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460" w:lineRule="exact"/>
              <w:rPr>
                <w:rFonts w:hint="eastAsia" w:asciiTheme="majorEastAsia" w:hAnsiTheme="majorEastAsia" w:eastAsiaTheme="majorEastAsia" w:cstheme="majorEastAsia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 w:val="0"/>
                <w:color w:val="000000"/>
                <w:sz w:val="24"/>
                <w:szCs w:val="24"/>
              </w:rPr>
              <w:t>报名程序：</w:t>
            </w:r>
          </w:p>
          <w:p>
            <w:pPr>
              <w:spacing w:line="460" w:lineRule="exact"/>
              <w:rPr>
                <w:rFonts w:hint="eastAsia" w:asciiTheme="majorEastAsia" w:hAnsiTheme="majorEastAsia" w:eastAsiaTheme="majorEastAsia" w:cstheme="majorEastAsia"/>
                <w:b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 w:val="0"/>
                <w:color w:val="000000"/>
                <w:sz w:val="24"/>
                <w:szCs w:val="24"/>
                <w:lang w:val="en-US" w:eastAsia="zh-CN"/>
              </w:rPr>
              <w:t>报名请回复报名回执！</w:t>
            </w:r>
          </w:p>
          <w:p>
            <w:pPr>
              <w:adjustRightInd w:val="0"/>
              <w:snapToGrid w:val="0"/>
              <w:spacing w:line="400" w:lineRule="exact"/>
              <w:rPr>
                <w:rFonts w:hint="eastAsia" w:asciiTheme="majorEastAsia" w:hAnsiTheme="majorEastAsia" w:eastAsiaTheme="majorEastAsia" w:cstheme="majorEastAsia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 w:val="0"/>
                <w:color w:val="000000"/>
                <w:sz w:val="24"/>
                <w:szCs w:val="24"/>
                <w:lang w:eastAsia="zh-CN"/>
              </w:rPr>
              <w:t>办公电话</w:t>
            </w:r>
            <w:r>
              <w:rPr>
                <w:rFonts w:hint="eastAsia" w:asciiTheme="majorEastAsia" w:hAnsiTheme="majorEastAsia" w:eastAsiaTheme="majorEastAsia" w:cstheme="majorEastAsia"/>
                <w:b/>
                <w:bCs w:val="0"/>
                <w:color w:val="000000"/>
                <w:sz w:val="24"/>
                <w:szCs w:val="24"/>
                <w:lang w:val="en-US" w:eastAsia="zh-CN"/>
              </w:rPr>
              <w:t>010-52108703</w:t>
            </w:r>
            <w:r>
              <w:rPr>
                <w:rFonts w:hint="eastAsia" w:asciiTheme="majorEastAsia" w:hAnsiTheme="majorEastAsia" w:eastAsiaTheme="majorEastAsia" w:cstheme="majorEastAsia"/>
                <w:b/>
                <w:bCs w:val="0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asciiTheme="majorEastAsia" w:hAnsiTheme="majorEastAsia" w:eastAsiaTheme="majorEastAsia" w:cstheme="majorEastAsia"/>
                <w:b/>
                <w:bCs w:val="0"/>
                <w:color w:val="000000"/>
                <w:sz w:val="24"/>
                <w:szCs w:val="24"/>
                <w:lang w:val="en-US" w:eastAsia="zh-CN"/>
              </w:rPr>
              <w:t xml:space="preserve">        QQ</w:t>
            </w:r>
            <w:bookmarkStart w:id="0" w:name="_GoBack"/>
            <w:bookmarkEnd w:id="0"/>
            <w:r>
              <w:rPr>
                <w:rFonts w:hint="eastAsia" w:asciiTheme="majorEastAsia" w:hAnsiTheme="majorEastAsia" w:eastAsiaTheme="majorEastAsia" w:cstheme="majorEastAsia"/>
                <w:b/>
                <w:bCs w:val="0"/>
                <w:color w:val="000000"/>
                <w:sz w:val="24"/>
                <w:szCs w:val="24"/>
                <w:lang w:val="en-US" w:eastAsia="zh-CN"/>
              </w:rPr>
              <w:t>：1013975505</w:t>
            </w:r>
          </w:p>
          <w:p>
            <w:pPr>
              <w:adjustRightInd w:val="0"/>
              <w:snapToGrid w:val="0"/>
              <w:spacing w:line="400" w:lineRule="exact"/>
              <w:rPr>
                <w:rFonts w:asciiTheme="minorEastAsia" w:hAnsiTheme="minorEastAsia" w:eastAsiaTheme="minorEastAsia"/>
                <w:b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 w:val="0"/>
                <w:color w:val="000000"/>
                <w:sz w:val="24"/>
                <w:szCs w:val="24"/>
                <w:lang w:eastAsia="zh-CN"/>
              </w:rPr>
              <w:t>联系人：周老师</w:t>
            </w:r>
            <w:r>
              <w:rPr>
                <w:rFonts w:hint="eastAsia" w:asciiTheme="majorEastAsia" w:hAnsiTheme="majorEastAsia" w:eastAsiaTheme="majorEastAsia" w:cstheme="majorEastAsia"/>
                <w:b/>
                <w:bCs w:val="0"/>
                <w:color w:val="000000"/>
                <w:sz w:val="24"/>
                <w:szCs w:val="24"/>
                <w:lang w:val="en-US" w:eastAsia="zh-CN"/>
              </w:rPr>
              <w:t xml:space="preserve">            报名邮箱：gky11111@126.com</w:t>
            </w:r>
          </w:p>
        </w:tc>
      </w:tr>
    </w:tbl>
    <w:p>
      <w:pPr>
        <w:rPr>
          <w:rFonts w:asciiTheme="minorEastAsia" w:hAnsiTheme="minorEastAsia" w:eastAsiaTheme="minorEastAsia"/>
          <w:sz w:val="24"/>
          <w:szCs w:val="24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Lucida Sans Unicod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楷体">
    <w:altName w:val="楷体_GB2312"/>
    <w:panose1 w:val="00000000000000000000"/>
    <w:charset w:val="86"/>
    <w:family w:val="modern"/>
    <w:pitch w:val="default"/>
    <w:sig w:usb0="00000000" w:usb1="00000000" w:usb2="0000001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00007A87" w:usb1="80000000" w:usb2="00000008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宋体-PUA">
    <w:panose1 w:val="02010600030101010101"/>
    <w:charset w:val="86"/>
    <w:family w:val="auto"/>
    <w:pitch w:val="default"/>
    <w:sig w:usb0="00000000" w:usb1="10000000" w:usb2="00000000" w:usb3="00000000" w:csb0="00040000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Calibri Light">
    <w:altName w:val="Courier New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仿宋">
    <w:altName w:val="宋体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PMingLiU">
    <w:panose1 w:val="02020300000000000000"/>
    <w:charset w:val="88"/>
    <w:family w:val="auto"/>
    <w:pitch w:val="default"/>
    <w:sig w:usb0="00000003" w:usb1="082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9CF"/>
    <w:rsid w:val="001B47AB"/>
    <w:rsid w:val="00204411"/>
    <w:rsid w:val="002133E9"/>
    <w:rsid w:val="00413F4C"/>
    <w:rsid w:val="005844C4"/>
    <w:rsid w:val="00640945"/>
    <w:rsid w:val="008024AD"/>
    <w:rsid w:val="00925468"/>
    <w:rsid w:val="00964D05"/>
    <w:rsid w:val="009839B0"/>
    <w:rsid w:val="009F4459"/>
    <w:rsid w:val="00A1368A"/>
    <w:rsid w:val="00AA122D"/>
    <w:rsid w:val="00AD7CC9"/>
    <w:rsid w:val="00BB29CF"/>
    <w:rsid w:val="00CF5194"/>
    <w:rsid w:val="00D0623F"/>
    <w:rsid w:val="00D84F0C"/>
    <w:rsid w:val="00E60C53"/>
    <w:rsid w:val="00E86B87"/>
    <w:rsid w:val="00EE7C7B"/>
    <w:rsid w:val="08717AAF"/>
    <w:rsid w:val="0B7F1DA4"/>
    <w:rsid w:val="10465FBD"/>
    <w:rsid w:val="4BE64ED9"/>
    <w:rsid w:val="599360B9"/>
    <w:rsid w:val="639F1A5A"/>
    <w:rsid w:val="659E6BB4"/>
    <w:rsid w:val="759C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3"/>
    <w:basedOn w:val="1"/>
    <w:next w:val="1"/>
    <w:link w:val="12"/>
    <w:qFormat/>
    <w:uiPriority w:val="9"/>
    <w:pPr>
      <w:widowControl/>
      <w:spacing w:before="240" w:after="240"/>
      <w:jc w:val="left"/>
      <w:outlineLvl w:val="2"/>
    </w:pPr>
    <w:rPr>
      <w:rFonts w:ascii="宋体" w:hAnsi="宋体" w:cs="宋体"/>
      <w:b/>
      <w:bCs/>
      <w:kern w:val="0"/>
      <w:sz w:val="28"/>
      <w:szCs w:val="28"/>
    </w:rPr>
  </w:style>
  <w:style w:type="character" w:default="1" w:styleId="6">
    <w:name w:val="Default Paragraph Font"/>
    <w:unhideWhenUsed/>
    <w:uiPriority w:val="1"/>
  </w:style>
  <w:style w:type="table" w:default="1" w:styleId="9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styleId="8">
    <w:name w:val="Hyperlink"/>
    <w:basedOn w:val="6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12">
    <w:name w:val="标题 3 Char"/>
    <w:basedOn w:val="6"/>
    <w:link w:val="2"/>
    <w:qFormat/>
    <w:uiPriority w:val="9"/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13">
    <w:name w:val="padding2em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283</Words>
  <Characters>1619</Characters>
  <Lines>13</Lines>
  <Paragraphs>3</Paragraphs>
  <ScaleCrop>false</ScaleCrop>
  <LinksUpToDate>false</LinksUpToDate>
  <CharactersWithSpaces>1899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2017-04-26T01:29:00Z</dcterms:created>
  <dc:creator>David-Ding</dc:creator>
  <cp:lastModifiedBy>Administrator</cp:lastModifiedBy>
  <dcterms:modified xsi:type="dcterms:W3CDTF">2017-06-14T07:07:54Z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